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B2E" w:rsidRDefault="00CA1B2E" w:rsidP="00CA1B2E">
      <w:pPr>
        <w:spacing w:after="45" w:line="360" w:lineRule="atLeast"/>
        <w:jc w:val="center"/>
        <w:textAlignment w:val="baseline"/>
        <w:outlineLvl w:val="0"/>
        <w:rPr>
          <w:rFonts w:eastAsia="Times New Roman" w:cs="Times New Roman"/>
          <w:bCs/>
          <w:kern w:val="36"/>
          <w:sz w:val="44"/>
          <w:szCs w:val="44"/>
          <w:lang w:eastAsia="it-IT"/>
        </w:rPr>
      </w:pPr>
    </w:p>
    <w:p w:rsidR="00CA1B2E" w:rsidRDefault="00CA1B2E" w:rsidP="00CA1B2E">
      <w:pPr>
        <w:spacing w:after="45" w:line="360" w:lineRule="atLeast"/>
        <w:jc w:val="center"/>
        <w:textAlignment w:val="baseline"/>
        <w:outlineLvl w:val="0"/>
        <w:rPr>
          <w:rFonts w:eastAsia="Times New Roman" w:cs="Times New Roman"/>
          <w:bCs/>
          <w:kern w:val="36"/>
          <w:sz w:val="44"/>
          <w:szCs w:val="44"/>
          <w:lang w:eastAsia="it-IT"/>
        </w:rPr>
      </w:pPr>
    </w:p>
    <w:p w:rsidR="00CA1B2E" w:rsidRDefault="00CA1B2E" w:rsidP="00CA1B2E">
      <w:pPr>
        <w:spacing w:after="45" w:line="360" w:lineRule="atLeast"/>
        <w:jc w:val="center"/>
        <w:textAlignment w:val="baseline"/>
        <w:outlineLvl w:val="0"/>
        <w:rPr>
          <w:rFonts w:eastAsia="Times New Roman" w:cs="Times New Roman"/>
          <w:bCs/>
          <w:kern w:val="36"/>
          <w:sz w:val="44"/>
          <w:szCs w:val="44"/>
          <w:lang w:eastAsia="it-IT"/>
        </w:rPr>
      </w:pPr>
    </w:p>
    <w:p w:rsidR="00CA1B2E" w:rsidRPr="00CA1B2E" w:rsidRDefault="00CA1B2E" w:rsidP="00CA1B2E">
      <w:pPr>
        <w:spacing w:after="45" w:line="360" w:lineRule="atLeast"/>
        <w:jc w:val="center"/>
        <w:textAlignment w:val="baseline"/>
        <w:outlineLvl w:val="0"/>
        <w:rPr>
          <w:rFonts w:eastAsia="Times New Roman" w:cs="Times New Roman"/>
          <w:bCs/>
          <w:kern w:val="36"/>
          <w:sz w:val="44"/>
          <w:szCs w:val="44"/>
          <w:lang w:eastAsia="it-IT"/>
        </w:rPr>
      </w:pPr>
      <w:proofErr w:type="spellStart"/>
      <w:r w:rsidRPr="00CA1B2E">
        <w:rPr>
          <w:rFonts w:eastAsia="Times New Roman" w:cs="Times New Roman"/>
          <w:bCs/>
          <w:kern w:val="36"/>
          <w:sz w:val="44"/>
          <w:szCs w:val="44"/>
          <w:lang w:eastAsia="it-IT"/>
        </w:rPr>
        <w:t>DLgs</w:t>
      </w:r>
      <w:proofErr w:type="spellEnd"/>
      <w:r w:rsidRPr="00CA1B2E">
        <w:rPr>
          <w:rFonts w:eastAsia="Times New Roman" w:cs="Times New Roman"/>
          <w:bCs/>
          <w:kern w:val="36"/>
          <w:sz w:val="44"/>
          <w:szCs w:val="44"/>
          <w:lang w:eastAsia="it-IT"/>
        </w:rPr>
        <w:t xml:space="preserve"> 16 gennaio 2013 n.13</w:t>
      </w:r>
    </w:p>
    <w:p w:rsidR="001A368B" w:rsidRPr="00CA1B2E" w:rsidRDefault="001A368B" w:rsidP="00CA1B2E">
      <w:pPr>
        <w:spacing w:after="45" w:line="360" w:lineRule="atLeast"/>
        <w:jc w:val="center"/>
        <w:textAlignment w:val="baseline"/>
        <w:outlineLvl w:val="0"/>
        <w:rPr>
          <w:rFonts w:eastAsia="Times New Roman" w:cs="Times New Roman"/>
          <w:bCs/>
          <w:kern w:val="36"/>
          <w:sz w:val="44"/>
          <w:szCs w:val="44"/>
          <w:lang w:eastAsia="it-IT"/>
        </w:rPr>
      </w:pPr>
      <w:r w:rsidRPr="00CA1B2E">
        <w:rPr>
          <w:rFonts w:eastAsia="Times New Roman" w:cs="Times New Roman"/>
          <w:bCs/>
          <w:kern w:val="36"/>
          <w:sz w:val="44"/>
          <w:szCs w:val="44"/>
          <w:lang w:eastAsia="it-IT"/>
        </w:rPr>
        <w:t>sistema nazionale di certificazione delle competenze</w:t>
      </w:r>
    </w:p>
    <w:p w:rsidR="00CA1B2E" w:rsidRDefault="001A368B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CA1B2E">
        <w:rPr>
          <w:rFonts w:eastAsia="Times New Roman" w:cs="Times New Roman"/>
          <w:color w:val="FF0000"/>
          <w:sz w:val="40"/>
          <w:szCs w:val="40"/>
          <w:lang w:eastAsia="it-IT"/>
        </w:rPr>
        <w:t>promuove l’apprendimento permanente, attraverso un sistema di certificazione delle competenze</w:t>
      </w:r>
      <w:r w:rsidRPr="001A368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</w:t>
      </w: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eastAsia="Times New Roman" w:cs="Times New Roman"/>
          <w:sz w:val="32"/>
          <w:szCs w:val="32"/>
          <w:lang w:eastAsia="it-IT"/>
        </w:rPr>
      </w:pPr>
    </w:p>
    <w:p w:rsidR="00CA1B2E" w:rsidRDefault="001A368B" w:rsidP="00CA1B2E">
      <w:pPr>
        <w:spacing w:after="0" w:line="240" w:lineRule="auto"/>
        <w:jc w:val="both"/>
        <w:textAlignment w:val="baseline"/>
        <w:rPr>
          <w:rFonts w:eastAsia="Times New Roman" w:cs="Times New Roman"/>
          <w:sz w:val="32"/>
          <w:szCs w:val="32"/>
          <w:lang w:eastAsia="it-IT"/>
        </w:rPr>
      </w:pPr>
      <w:r w:rsidRPr="00CA1B2E">
        <w:rPr>
          <w:rFonts w:eastAsia="Times New Roman" w:cs="Times New Roman"/>
          <w:sz w:val="32"/>
          <w:szCs w:val="32"/>
          <w:lang w:eastAsia="it-IT"/>
        </w:rPr>
        <w:t xml:space="preserve">La norma definisce le </w:t>
      </w:r>
      <w:r w:rsidRPr="00CA1B2E">
        <w:rPr>
          <w:rFonts w:eastAsia="Times New Roman" w:cs="Times New Roman"/>
          <w:b/>
          <w:bCs/>
          <w:sz w:val="32"/>
          <w:szCs w:val="32"/>
          <w:bdr w:val="none" w:sz="0" w:space="0" w:color="auto" w:frame="1"/>
          <w:lang w:eastAsia="it-IT"/>
        </w:rPr>
        <w:t xml:space="preserve">regole generali per l’individuazione e il riconoscimento delle competenze </w:t>
      </w:r>
      <w:r w:rsidRPr="00CA1B2E">
        <w:rPr>
          <w:rFonts w:eastAsia="Times New Roman" w:cs="Times New Roman"/>
          <w:sz w:val="32"/>
          <w:szCs w:val="32"/>
          <w:lang w:eastAsia="it-IT"/>
        </w:rPr>
        <w:t xml:space="preserve">secondo parametri unificati che permettono di valutare in modo omogeneo il livello di conoscenza relativo ad ogni tipo di apprendimento: </w:t>
      </w:r>
      <w:r w:rsidRPr="00CA1B2E">
        <w:rPr>
          <w:rFonts w:eastAsia="Times New Roman" w:cs="Times New Roman"/>
          <w:b/>
          <w:bCs/>
          <w:sz w:val="32"/>
          <w:szCs w:val="32"/>
          <w:bdr w:val="none" w:sz="0" w:space="0" w:color="auto" w:frame="1"/>
          <w:lang w:eastAsia="it-IT"/>
        </w:rPr>
        <w:t>formale, non formale e informale</w:t>
      </w:r>
      <w:r w:rsidRPr="00CA1B2E">
        <w:rPr>
          <w:rFonts w:eastAsia="Times New Roman" w:cs="Times New Roman"/>
          <w:sz w:val="32"/>
          <w:szCs w:val="32"/>
          <w:lang w:eastAsia="it-IT"/>
        </w:rPr>
        <w:t>.</w:t>
      </w:r>
      <w:r w:rsidRPr="00CA1B2E">
        <w:rPr>
          <w:rFonts w:eastAsia="Times New Roman" w:cs="Times New Roman"/>
          <w:sz w:val="32"/>
          <w:szCs w:val="32"/>
          <w:lang w:eastAsia="it-IT"/>
        </w:rPr>
        <w:br/>
      </w:r>
    </w:p>
    <w:p w:rsidR="00CA1B2E" w:rsidRPr="00CA1B2E" w:rsidRDefault="001A368B" w:rsidP="00CA1B2E">
      <w:pPr>
        <w:spacing w:after="0" w:line="240" w:lineRule="auto"/>
        <w:jc w:val="both"/>
        <w:textAlignment w:val="baseline"/>
        <w:rPr>
          <w:rFonts w:eastAsia="Times New Roman" w:cs="Times New Roman"/>
          <w:sz w:val="32"/>
          <w:szCs w:val="32"/>
          <w:lang w:eastAsia="it-IT"/>
        </w:rPr>
      </w:pPr>
      <w:r w:rsidRPr="00CA1B2E">
        <w:rPr>
          <w:rFonts w:eastAsia="Times New Roman" w:cs="Times New Roman"/>
          <w:sz w:val="32"/>
          <w:szCs w:val="32"/>
          <w:lang w:eastAsia="it-IT"/>
        </w:rPr>
        <w:t xml:space="preserve">Il provvedimento prevede che a certificare le competenze siano appositi </w:t>
      </w:r>
      <w:r w:rsidRPr="00CA1B2E">
        <w:rPr>
          <w:rFonts w:eastAsia="Times New Roman" w:cs="Times New Roman"/>
          <w:b/>
          <w:bCs/>
          <w:sz w:val="32"/>
          <w:szCs w:val="32"/>
          <w:bdr w:val="none" w:sz="0" w:space="0" w:color="auto" w:frame="1"/>
          <w:lang w:eastAsia="it-IT"/>
        </w:rPr>
        <w:t>“enti titolati”</w:t>
      </w:r>
      <w:r w:rsidRPr="00CA1B2E">
        <w:rPr>
          <w:rFonts w:eastAsia="Times New Roman" w:cs="Times New Roman"/>
          <w:sz w:val="32"/>
          <w:szCs w:val="32"/>
          <w:lang w:eastAsia="it-IT"/>
        </w:rPr>
        <w:t xml:space="preserve"> attingendo da un repertorio pubblico dove sono elencate tutte le possibili competenze. Per enti titolati si intendono tutti i </w:t>
      </w:r>
      <w:r w:rsidRPr="00CA1B2E">
        <w:rPr>
          <w:rFonts w:eastAsia="Times New Roman" w:cs="Times New Roman"/>
          <w:b/>
          <w:bCs/>
          <w:sz w:val="32"/>
          <w:szCs w:val="32"/>
          <w:bdr w:val="none" w:sz="0" w:space="0" w:color="auto" w:frame="1"/>
          <w:lang w:eastAsia="it-IT"/>
        </w:rPr>
        <w:t>soggetti pubblici o privati in possesso di autorizzazione o accreditamento regionale</w:t>
      </w:r>
      <w:r w:rsidRPr="00CA1B2E">
        <w:rPr>
          <w:rFonts w:eastAsia="Times New Roman" w:cs="Times New Roman"/>
          <w:sz w:val="32"/>
          <w:szCs w:val="32"/>
          <w:lang w:eastAsia="it-IT"/>
        </w:rPr>
        <w:t>, comprese camere di commercio, scuole, università e istituzioni formative.</w:t>
      </w:r>
      <w:r w:rsidRPr="00CA1B2E">
        <w:rPr>
          <w:rFonts w:eastAsia="Times New Roman" w:cs="Times New Roman"/>
          <w:sz w:val="32"/>
          <w:szCs w:val="32"/>
          <w:lang w:eastAsia="it-IT"/>
        </w:rPr>
        <w:br/>
      </w: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A1B2E" w:rsidRDefault="00CA1B2E" w:rsidP="00CA1B2E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1A368B" w:rsidRPr="009E0CF8" w:rsidRDefault="001A368B" w:rsidP="00CA1B2E">
      <w:pPr>
        <w:spacing w:after="0" w:line="240" w:lineRule="auto"/>
        <w:jc w:val="both"/>
        <w:textAlignment w:val="baseline"/>
        <w:rPr>
          <w:rFonts w:eastAsia="Times New Roman" w:cs="Times New Roman"/>
          <w:b/>
          <w:sz w:val="32"/>
          <w:szCs w:val="32"/>
          <w:lang w:eastAsia="it-IT"/>
        </w:rPr>
      </w:pPr>
      <w:r w:rsidRPr="009E0CF8">
        <w:rPr>
          <w:rFonts w:eastAsia="Times New Roman" w:cs="Times New Roman"/>
          <w:b/>
          <w:sz w:val="32"/>
          <w:szCs w:val="32"/>
          <w:lang w:eastAsia="it-IT"/>
        </w:rPr>
        <w:lastRenderedPageBreak/>
        <w:t>Il decreto definisce inoltre il concetto di "</w:t>
      </w:r>
      <w:r w:rsidRPr="009E0CF8">
        <w:rPr>
          <w:rFonts w:eastAsia="Times New Roman" w:cs="Times New Roman"/>
          <w:b/>
          <w:color w:val="FF0000"/>
          <w:sz w:val="32"/>
          <w:szCs w:val="32"/>
          <w:lang w:eastAsia="it-IT"/>
        </w:rPr>
        <w:t>apprendiment</w:t>
      </w:r>
      <w:bookmarkStart w:id="0" w:name="_GoBack"/>
      <w:bookmarkEnd w:id="0"/>
      <w:r w:rsidRPr="009E0CF8">
        <w:rPr>
          <w:rFonts w:eastAsia="Times New Roman" w:cs="Times New Roman"/>
          <w:b/>
          <w:color w:val="FF0000"/>
          <w:sz w:val="32"/>
          <w:szCs w:val="32"/>
          <w:lang w:eastAsia="it-IT"/>
        </w:rPr>
        <w:t>o</w:t>
      </w:r>
      <w:r w:rsidRPr="009E0CF8">
        <w:rPr>
          <w:rFonts w:eastAsia="Times New Roman" w:cs="Times New Roman"/>
          <w:b/>
          <w:sz w:val="32"/>
          <w:szCs w:val="32"/>
          <w:lang w:eastAsia="it-IT"/>
        </w:rPr>
        <w:t>", nelle sue possibili derivazioni, e quello di "</w:t>
      </w:r>
      <w:r w:rsidRPr="009E0CF8">
        <w:rPr>
          <w:rFonts w:eastAsia="Times New Roman" w:cs="Times New Roman"/>
          <w:b/>
          <w:color w:val="FF0000"/>
          <w:sz w:val="32"/>
          <w:szCs w:val="32"/>
          <w:lang w:eastAsia="it-IT"/>
        </w:rPr>
        <w:t>competenza</w:t>
      </w:r>
      <w:r w:rsidRPr="009E0CF8">
        <w:rPr>
          <w:rFonts w:eastAsia="Times New Roman" w:cs="Times New Roman"/>
          <w:b/>
          <w:sz w:val="32"/>
          <w:szCs w:val="32"/>
          <w:lang w:eastAsia="it-IT"/>
        </w:rPr>
        <w:t>":</w:t>
      </w:r>
    </w:p>
    <w:p w:rsidR="00CA1B2E" w:rsidRPr="00CA1B2E" w:rsidRDefault="00CA1B2E" w:rsidP="00CA1B2E">
      <w:pPr>
        <w:spacing w:after="0" w:line="240" w:lineRule="auto"/>
        <w:jc w:val="both"/>
        <w:textAlignment w:val="baseline"/>
        <w:rPr>
          <w:rFonts w:eastAsia="Times New Roman" w:cs="Times New Roman"/>
          <w:sz w:val="32"/>
          <w:szCs w:val="32"/>
          <w:lang w:eastAsia="it-IT"/>
        </w:rPr>
      </w:pPr>
    </w:p>
    <w:p w:rsidR="001A368B" w:rsidRDefault="001A368B" w:rsidP="00CA1B2E">
      <w:pPr>
        <w:numPr>
          <w:ilvl w:val="0"/>
          <w:numId w:val="1"/>
        </w:numPr>
        <w:spacing w:after="0" w:line="240" w:lineRule="auto"/>
        <w:ind w:left="150"/>
        <w:jc w:val="both"/>
        <w:textAlignment w:val="baseline"/>
        <w:rPr>
          <w:rFonts w:eastAsia="Times New Roman" w:cs="Times New Roman"/>
          <w:sz w:val="32"/>
          <w:szCs w:val="32"/>
          <w:lang w:eastAsia="it-IT"/>
        </w:rPr>
      </w:pPr>
      <w:r w:rsidRPr="00CA1B2E">
        <w:rPr>
          <w:rFonts w:eastAsia="Times New Roman" w:cs="Times New Roman"/>
          <w:b/>
          <w:bCs/>
          <w:sz w:val="32"/>
          <w:szCs w:val="32"/>
          <w:bdr w:val="none" w:sz="0" w:space="0" w:color="auto" w:frame="1"/>
          <w:lang w:eastAsia="it-IT"/>
        </w:rPr>
        <w:t xml:space="preserve">“apprendimento permanente”: </w:t>
      </w:r>
      <w:r w:rsidRPr="00CA1B2E">
        <w:rPr>
          <w:rFonts w:eastAsia="Times New Roman" w:cs="Times New Roman"/>
          <w:sz w:val="32"/>
          <w:szCs w:val="32"/>
          <w:lang w:eastAsia="it-IT"/>
        </w:rPr>
        <w:t>qualsiasi attività intrapresa dalla persona in modo formale, non formale e informale, nelle varie fasi della vita, al fine di migliorare le conoscenze, le capacità e le competenze, in una prospettiva di crescita personale, civica, sociale e occupazionale;</w:t>
      </w:r>
    </w:p>
    <w:p w:rsidR="00CA1B2E" w:rsidRPr="00CA1B2E" w:rsidRDefault="00CA1B2E" w:rsidP="00CA1B2E">
      <w:pPr>
        <w:spacing w:after="0" w:line="240" w:lineRule="auto"/>
        <w:ind w:left="150"/>
        <w:jc w:val="both"/>
        <w:textAlignment w:val="baseline"/>
        <w:rPr>
          <w:rFonts w:eastAsia="Times New Roman" w:cs="Times New Roman"/>
          <w:sz w:val="16"/>
          <w:szCs w:val="16"/>
          <w:lang w:eastAsia="it-IT"/>
        </w:rPr>
      </w:pPr>
    </w:p>
    <w:p w:rsidR="001A368B" w:rsidRDefault="001A368B" w:rsidP="00CA1B2E">
      <w:pPr>
        <w:numPr>
          <w:ilvl w:val="0"/>
          <w:numId w:val="1"/>
        </w:numPr>
        <w:spacing w:after="0" w:line="240" w:lineRule="auto"/>
        <w:ind w:left="150"/>
        <w:jc w:val="both"/>
        <w:textAlignment w:val="baseline"/>
        <w:rPr>
          <w:rFonts w:eastAsia="Times New Roman" w:cs="Times New Roman"/>
          <w:sz w:val="32"/>
          <w:szCs w:val="32"/>
          <w:lang w:eastAsia="it-IT"/>
        </w:rPr>
      </w:pPr>
      <w:r w:rsidRPr="00CA1B2E">
        <w:rPr>
          <w:rFonts w:eastAsia="Times New Roman" w:cs="Times New Roman"/>
          <w:b/>
          <w:bCs/>
          <w:sz w:val="32"/>
          <w:szCs w:val="32"/>
          <w:bdr w:val="none" w:sz="0" w:space="0" w:color="auto" w:frame="1"/>
          <w:lang w:eastAsia="it-IT"/>
        </w:rPr>
        <w:t xml:space="preserve">“apprendimento formale”: </w:t>
      </w:r>
      <w:r w:rsidRPr="00CA1B2E">
        <w:rPr>
          <w:rFonts w:eastAsia="Times New Roman" w:cs="Times New Roman"/>
          <w:sz w:val="32"/>
          <w:szCs w:val="32"/>
          <w:lang w:eastAsia="it-IT"/>
        </w:rPr>
        <w:t>apprendimento che si attua nel sistema di istruzione e formazione e nelle università e istituzioni di alta formazione artistica, musicale e coreutica, e che si conclude con il conseguimento di un titolo di studio o di una qualifica o diploma professionale, conseguiti anche in apprendistato, o di una certificazione riconosciuta, nel rispetto della legislazione vigente in materia di ordinamenti scolastici e universitari;</w:t>
      </w:r>
    </w:p>
    <w:p w:rsidR="00CA1B2E" w:rsidRPr="00CA1B2E" w:rsidRDefault="00CA1B2E" w:rsidP="00CA1B2E">
      <w:pPr>
        <w:spacing w:after="0" w:line="240" w:lineRule="auto"/>
        <w:jc w:val="both"/>
        <w:textAlignment w:val="baseline"/>
        <w:rPr>
          <w:rFonts w:eastAsia="Times New Roman" w:cs="Times New Roman"/>
          <w:sz w:val="16"/>
          <w:szCs w:val="16"/>
          <w:lang w:eastAsia="it-IT"/>
        </w:rPr>
      </w:pPr>
    </w:p>
    <w:p w:rsidR="001A368B" w:rsidRDefault="001A368B" w:rsidP="00CA1B2E">
      <w:pPr>
        <w:numPr>
          <w:ilvl w:val="0"/>
          <w:numId w:val="1"/>
        </w:numPr>
        <w:spacing w:after="0" w:line="240" w:lineRule="auto"/>
        <w:ind w:left="150"/>
        <w:jc w:val="both"/>
        <w:textAlignment w:val="baseline"/>
        <w:rPr>
          <w:rFonts w:eastAsia="Times New Roman" w:cs="Times New Roman"/>
          <w:sz w:val="32"/>
          <w:szCs w:val="32"/>
          <w:lang w:eastAsia="it-IT"/>
        </w:rPr>
      </w:pPr>
      <w:r w:rsidRPr="00CA1B2E">
        <w:rPr>
          <w:rFonts w:eastAsia="Times New Roman" w:cs="Times New Roman"/>
          <w:b/>
          <w:bCs/>
          <w:sz w:val="32"/>
          <w:szCs w:val="32"/>
          <w:bdr w:val="none" w:sz="0" w:space="0" w:color="auto" w:frame="1"/>
          <w:lang w:eastAsia="it-IT"/>
        </w:rPr>
        <w:t xml:space="preserve">“apprendimento non formale”: </w:t>
      </w:r>
      <w:r w:rsidRPr="00CA1B2E">
        <w:rPr>
          <w:rFonts w:eastAsia="Times New Roman" w:cs="Times New Roman"/>
          <w:sz w:val="32"/>
          <w:szCs w:val="32"/>
          <w:lang w:eastAsia="it-IT"/>
        </w:rPr>
        <w:t>apprendimento caratterizzato da una scelta intenzionale della persona, che si realizza al di fuori dei sistemi sopracitati, in ogni organismo che persegua scopi educativi e formativi, anche del volontariato, del servizio civile nazionale e del privato sociale e nelle imprese;</w:t>
      </w:r>
    </w:p>
    <w:p w:rsidR="00CA1B2E" w:rsidRPr="00CA1B2E" w:rsidRDefault="00CA1B2E" w:rsidP="00CA1B2E">
      <w:pPr>
        <w:spacing w:after="0" w:line="240" w:lineRule="auto"/>
        <w:jc w:val="both"/>
        <w:textAlignment w:val="baseline"/>
        <w:rPr>
          <w:rFonts w:eastAsia="Times New Roman" w:cs="Times New Roman"/>
          <w:sz w:val="16"/>
          <w:szCs w:val="16"/>
          <w:lang w:eastAsia="it-IT"/>
        </w:rPr>
      </w:pPr>
    </w:p>
    <w:p w:rsidR="001A368B" w:rsidRDefault="001A368B" w:rsidP="00CA1B2E">
      <w:pPr>
        <w:numPr>
          <w:ilvl w:val="0"/>
          <w:numId w:val="1"/>
        </w:numPr>
        <w:spacing w:after="0" w:line="240" w:lineRule="auto"/>
        <w:ind w:left="150"/>
        <w:jc w:val="both"/>
        <w:textAlignment w:val="baseline"/>
        <w:rPr>
          <w:rFonts w:eastAsia="Times New Roman" w:cs="Times New Roman"/>
          <w:sz w:val="32"/>
          <w:szCs w:val="32"/>
          <w:lang w:eastAsia="it-IT"/>
        </w:rPr>
      </w:pPr>
      <w:r w:rsidRPr="00CA1B2E">
        <w:rPr>
          <w:rFonts w:eastAsia="Times New Roman" w:cs="Times New Roman"/>
          <w:b/>
          <w:bCs/>
          <w:sz w:val="32"/>
          <w:szCs w:val="32"/>
          <w:bdr w:val="none" w:sz="0" w:space="0" w:color="auto" w:frame="1"/>
          <w:lang w:eastAsia="it-IT"/>
        </w:rPr>
        <w:t xml:space="preserve">“apprendimento informale”: </w:t>
      </w:r>
      <w:r w:rsidRPr="00CA1B2E">
        <w:rPr>
          <w:rFonts w:eastAsia="Times New Roman" w:cs="Times New Roman"/>
          <w:sz w:val="32"/>
          <w:szCs w:val="32"/>
          <w:lang w:eastAsia="it-IT"/>
        </w:rPr>
        <w:t>apprendimento che, anche a prescindere da una scelta intenzionale, si realizza nello svolgimento, da parte di ogni persona, di attività nelle situazioni di vita quotidiana e nelle interazioni che in essa hanno luogo, nell'ambito del contesto di lavoro, familiare e del tempo libero;</w:t>
      </w:r>
    </w:p>
    <w:p w:rsidR="00CA1B2E" w:rsidRPr="00CA1B2E" w:rsidRDefault="00CA1B2E" w:rsidP="00CA1B2E">
      <w:pPr>
        <w:spacing w:after="0" w:line="240" w:lineRule="auto"/>
        <w:jc w:val="both"/>
        <w:textAlignment w:val="baseline"/>
        <w:rPr>
          <w:rFonts w:eastAsia="Times New Roman" w:cs="Times New Roman"/>
          <w:sz w:val="16"/>
          <w:szCs w:val="16"/>
          <w:lang w:eastAsia="it-IT"/>
        </w:rPr>
      </w:pPr>
    </w:p>
    <w:p w:rsidR="001A368B" w:rsidRPr="00CA1B2E" w:rsidRDefault="001A368B" w:rsidP="00CA1B2E">
      <w:pPr>
        <w:numPr>
          <w:ilvl w:val="0"/>
          <w:numId w:val="1"/>
        </w:numPr>
        <w:spacing w:after="0" w:line="240" w:lineRule="auto"/>
        <w:ind w:left="150"/>
        <w:jc w:val="both"/>
        <w:textAlignment w:val="baseline"/>
        <w:rPr>
          <w:rFonts w:eastAsia="Times New Roman" w:cs="Times New Roman"/>
          <w:sz w:val="32"/>
          <w:szCs w:val="32"/>
          <w:lang w:eastAsia="it-IT"/>
        </w:rPr>
      </w:pPr>
      <w:r w:rsidRPr="00CA1B2E">
        <w:rPr>
          <w:rFonts w:eastAsia="Times New Roman" w:cs="Times New Roman"/>
          <w:b/>
          <w:bCs/>
          <w:sz w:val="32"/>
          <w:szCs w:val="32"/>
          <w:bdr w:val="none" w:sz="0" w:space="0" w:color="auto" w:frame="1"/>
          <w:lang w:eastAsia="it-IT"/>
        </w:rPr>
        <w:t xml:space="preserve">“competenza”: </w:t>
      </w:r>
      <w:r w:rsidRPr="00CA1B2E">
        <w:rPr>
          <w:rFonts w:eastAsia="Times New Roman" w:cs="Times New Roman"/>
          <w:sz w:val="32"/>
          <w:szCs w:val="32"/>
          <w:lang w:eastAsia="it-IT"/>
        </w:rPr>
        <w:t>comprovata capacità di utilizzare, in situazioni di lavoro, di studio o nello sviluppo professionale e personale, un insieme strutturato di conoscenze e di abilità acquisite nei contesti di apprendimento formale, non formale o informale.</w:t>
      </w:r>
    </w:p>
    <w:p w:rsidR="001F2CBE" w:rsidRPr="00CA1B2E" w:rsidRDefault="001F2CBE" w:rsidP="00CA1B2E">
      <w:pPr>
        <w:jc w:val="both"/>
        <w:rPr>
          <w:sz w:val="32"/>
          <w:szCs w:val="32"/>
        </w:rPr>
      </w:pPr>
    </w:p>
    <w:sectPr w:rsidR="001F2CBE" w:rsidRPr="00CA1B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75E52812"/>
    <w:multiLevelType w:val="multilevel"/>
    <w:tmpl w:val="DB54B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68B"/>
    <w:rsid w:val="00011B1D"/>
    <w:rsid w:val="0002325A"/>
    <w:rsid w:val="00026DB1"/>
    <w:rsid w:val="000271EA"/>
    <w:rsid w:val="000274EC"/>
    <w:rsid w:val="000444E6"/>
    <w:rsid w:val="000456D0"/>
    <w:rsid w:val="00054F66"/>
    <w:rsid w:val="000558E7"/>
    <w:rsid w:val="00060B18"/>
    <w:rsid w:val="0006184E"/>
    <w:rsid w:val="00072BB1"/>
    <w:rsid w:val="00075501"/>
    <w:rsid w:val="00080F9B"/>
    <w:rsid w:val="000937C2"/>
    <w:rsid w:val="00097485"/>
    <w:rsid w:val="000B6766"/>
    <w:rsid w:val="000B712B"/>
    <w:rsid w:val="000C2270"/>
    <w:rsid w:val="000C52E1"/>
    <w:rsid w:val="000D036E"/>
    <w:rsid w:val="000D39EA"/>
    <w:rsid w:val="000F75FA"/>
    <w:rsid w:val="001025EF"/>
    <w:rsid w:val="00106875"/>
    <w:rsid w:val="00136B52"/>
    <w:rsid w:val="00150533"/>
    <w:rsid w:val="00160D04"/>
    <w:rsid w:val="001626CC"/>
    <w:rsid w:val="00163FC2"/>
    <w:rsid w:val="00191537"/>
    <w:rsid w:val="00192608"/>
    <w:rsid w:val="00195B33"/>
    <w:rsid w:val="001A368B"/>
    <w:rsid w:val="001A50A2"/>
    <w:rsid w:val="001D110B"/>
    <w:rsid w:val="001E1B00"/>
    <w:rsid w:val="001F2CBE"/>
    <w:rsid w:val="001F58AC"/>
    <w:rsid w:val="001F6C4E"/>
    <w:rsid w:val="001F75D1"/>
    <w:rsid w:val="002018FD"/>
    <w:rsid w:val="00210BB3"/>
    <w:rsid w:val="00221ACB"/>
    <w:rsid w:val="002665E1"/>
    <w:rsid w:val="00272926"/>
    <w:rsid w:val="00291D24"/>
    <w:rsid w:val="002A57A7"/>
    <w:rsid w:val="002E1FB7"/>
    <w:rsid w:val="002E6476"/>
    <w:rsid w:val="002F3705"/>
    <w:rsid w:val="003149A0"/>
    <w:rsid w:val="003228CD"/>
    <w:rsid w:val="003259CB"/>
    <w:rsid w:val="0033761C"/>
    <w:rsid w:val="00343113"/>
    <w:rsid w:val="00367DDE"/>
    <w:rsid w:val="003815C1"/>
    <w:rsid w:val="00387B28"/>
    <w:rsid w:val="003A3A4A"/>
    <w:rsid w:val="003B0484"/>
    <w:rsid w:val="003B2BBD"/>
    <w:rsid w:val="003C4503"/>
    <w:rsid w:val="003C55C3"/>
    <w:rsid w:val="003C62DE"/>
    <w:rsid w:val="003D2FE4"/>
    <w:rsid w:val="003D56AE"/>
    <w:rsid w:val="003F2424"/>
    <w:rsid w:val="003F6271"/>
    <w:rsid w:val="003F70AD"/>
    <w:rsid w:val="004112D9"/>
    <w:rsid w:val="00414E73"/>
    <w:rsid w:val="00416E4A"/>
    <w:rsid w:val="00420379"/>
    <w:rsid w:val="00430576"/>
    <w:rsid w:val="00430664"/>
    <w:rsid w:val="0044678A"/>
    <w:rsid w:val="00456D5C"/>
    <w:rsid w:val="00460EE8"/>
    <w:rsid w:val="00471ED0"/>
    <w:rsid w:val="00474C72"/>
    <w:rsid w:val="00482432"/>
    <w:rsid w:val="00484CD4"/>
    <w:rsid w:val="00494ADC"/>
    <w:rsid w:val="004A2AFA"/>
    <w:rsid w:val="004A6614"/>
    <w:rsid w:val="004B072B"/>
    <w:rsid w:val="004B57AC"/>
    <w:rsid w:val="004C6DA1"/>
    <w:rsid w:val="004E782C"/>
    <w:rsid w:val="004F730B"/>
    <w:rsid w:val="00501CDF"/>
    <w:rsid w:val="0051382E"/>
    <w:rsid w:val="00527D42"/>
    <w:rsid w:val="0054643D"/>
    <w:rsid w:val="005470EC"/>
    <w:rsid w:val="00556323"/>
    <w:rsid w:val="0056017D"/>
    <w:rsid w:val="00564E59"/>
    <w:rsid w:val="00570FC7"/>
    <w:rsid w:val="00574DC9"/>
    <w:rsid w:val="0057628D"/>
    <w:rsid w:val="00591A42"/>
    <w:rsid w:val="005A3875"/>
    <w:rsid w:val="005F165D"/>
    <w:rsid w:val="005F3159"/>
    <w:rsid w:val="005F380F"/>
    <w:rsid w:val="00601B2E"/>
    <w:rsid w:val="00601B9B"/>
    <w:rsid w:val="00602019"/>
    <w:rsid w:val="00604A29"/>
    <w:rsid w:val="006147C5"/>
    <w:rsid w:val="006459A4"/>
    <w:rsid w:val="00652EAB"/>
    <w:rsid w:val="00671B4F"/>
    <w:rsid w:val="0067741E"/>
    <w:rsid w:val="00696303"/>
    <w:rsid w:val="006A4673"/>
    <w:rsid w:val="006B0CF0"/>
    <w:rsid w:val="006C42A9"/>
    <w:rsid w:val="006E3EDC"/>
    <w:rsid w:val="006E5FDE"/>
    <w:rsid w:val="006F0F3C"/>
    <w:rsid w:val="00713ACC"/>
    <w:rsid w:val="00715909"/>
    <w:rsid w:val="00716CDE"/>
    <w:rsid w:val="0077064C"/>
    <w:rsid w:val="00774CA6"/>
    <w:rsid w:val="007900F3"/>
    <w:rsid w:val="007B65DB"/>
    <w:rsid w:val="007B70CB"/>
    <w:rsid w:val="007C2879"/>
    <w:rsid w:val="007D63B6"/>
    <w:rsid w:val="007E36EF"/>
    <w:rsid w:val="007E7E70"/>
    <w:rsid w:val="007F053D"/>
    <w:rsid w:val="0081143C"/>
    <w:rsid w:val="0082146B"/>
    <w:rsid w:val="008411CB"/>
    <w:rsid w:val="00852770"/>
    <w:rsid w:val="00856FD8"/>
    <w:rsid w:val="00865864"/>
    <w:rsid w:val="008972F8"/>
    <w:rsid w:val="008A0423"/>
    <w:rsid w:val="008A0497"/>
    <w:rsid w:val="008A06A6"/>
    <w:rsid w:val="008A3915"/>
    <w:rsid w:val="008E3ADB"/>
    <w:rsid w:val="009012B9"/>
    <w:rsid w:val="009133E3"/>
    <w:rsid w:val="00933D1A"/>
    <w:rsid w:val="0094402C"/>
    <w:rsid w:val="0095372B"/>
    <w:rsid w:val="00954B5B"/>
    <w:rsid w:val="009577DB"/>
    <w:rsid w:val="0097577E"/>
    <w:rsid w:val="009A5B5F"/>
    <w:rsid w:val="009B5FEA"/>
    <w:rsid w:val="009B728D"/>
    <w:rsid w:val="009C21E8"/>
    <w:rsid w:val="009D1EEA"/>
    <w:rsid w:val="009E0CF8"/>
    <w:rsid w:val="009F0407"/>
    <w:rsid w:val="009F0D6D"/>
    <w:rsid w:val="009F578E"/>
    <w:rsid w:val="009F5D27"/>
    <w:rsid w:val="009F7123"/>
    <w:rsid w:val="00A36893"/>
    <w:rsid w:val="00A36E2B"/>
    <w:rsid w:val="00A41984"/>
    <w:rsid w:val="00A4212B"/>
    <w:rsid w:val="00A54F35"/>
    <w:rsid w:val="00A777F5"/>
    <w:rsid w:val="00A8240B"/>
    <w:rsid w:val="00A97FF2"/>
    <w:rsid w:val="00AC277A"/>
    <w:rsid w:val="00AC55AA"/>
    <w:rsid w:val="00AD11B6"/>
    <w:rsid w:val="00AD3652"/>
    <w:rsid w:val="00AD6AC4"/>
    <w:rsid w:val="00AD72EF"/>
    <w:rsid w:val="00AF683F"/>
    <w:rsid w:val="00B15528"/>
    <w:rsid w:val="00B17CF3"/>
    <w:rsid w:val="00B220CF"/>
    <w:rsid w:val="00B6581B"/>
    <w:rsid w:val="00B85F65"/>
    <w:rsid w:val="00B87CDC"/>
    <w:rsid w:val="00BA1198"/>
    <w:rsid w:val="00BA6AE4"/>
    <w:rsid w:val="00BB0F26"/>
    <w:rsid w:val="00BB4ED4"/>
    <w:rsid w:val="00BD2AE7"/>
    <w:rsid w:val="00BD3F22"/>
    <w:rsid w:val="00BE0BFD"/>
    <w:rsid w:val="00BE2751"/>
    <w:rsid w:val="00BF32AB"/>
    <w:rsid w:val="00BF4E60"/>
    <w:rsid w:val="00C06688"/>
    <w:rsid w:val="00C147A7"/>
    <w:rsid w:val="00C24D33"/>
    <w:rsid w:val="00C3318E"/>
    <w:rsid w:val="00C35A8B"/>
    <w:rsid w:val="00C70F07"/>
    <w:rsid w:val="00C7656F"/>
    <w:rsid w:val="00C800A2"/>
    <w:rsid w:val="00C86F9C"/>
    <w:rsid w:val="00C90229"/>
    <w:rsid w:val="00C959BB"/>
    <w:rsid w:val="00CA07EF"/>
    <w:rsid w:val="00CA1B2E"/>
    <w:rsid w:val="00CB0693"/>
    <w:rsid w:val="00CD2B12"/>
    <w:rsid w:val="00CD725F"/>
    <w:rsid w:val="00CE6BBC"/>
    <w:rsid w:val="00CE78DA"/>
    <w:rsid w:val="00D12DE2"/>
    <w:rsid w:val="00D15F7F"/>
    <w:rsid w:val="00D3029E"/>
    <w:rsid w:val="00D320DA"/>
    <w:rsid w:val="00D64BDF"/>
    <w:rsid w:val="00D749CE"/>
    <w:rsid w:val="00D91380"/>
    <w:rsid w:val="00DB4BFC"/>
    <w:rsid w:val="00DB66B7"/>
    <w:rsid w:val="00DC3950"/>
    <w:rsid w:val="00DC43EA"/>
    <w:rsid w:val="00DC4C60"/>
    <w:rsid w:val="00E1049B"/>
    <w:rsid w:val="00E211F7"/>
    <w:rsid w:val="00E27242"/>
    <w:rsid w:val="00E27F19"/>
    <w:rsid w:val="00E31B98"/>
    <w:rsid w:val="00E44D7B"/>
    <w:rsid w:val="00E56C3F"/>
    <w:rsid w:val="00E70808"/>
    <w:rsid w:val="00E9075A"/>
    <w:rsid w:val="00E91CF7"/>
    <w:rsid w:val="00EE2172"/>
    <w:rsid w:val="00EE354F"/>
    <w:rsid w:val="00EF57B5"/>
    <w:rsid w:val="00F01163"/>
    <w:rsid w:val="00F0420C"/>
    <w:rsid w:val="00F113F9"/>
    <w:rsid w:val="00F63C91"/>
    <w:rsid w:val="00F67798"/>
    <w:rsid w:val="00F71878"/>
    <w:rsid w:val="00F77137"/>
    <w:rsid w:val="00F958CD"/>
    <w:rsid w:val="00FA275D"/>
    <w:rsid w:val="00FB5442"/>
    <w:rsid w:val="00FB66C1"/>
    <w:rsid w:val="00FB739F"/>
    <w:rsid w:val="00FC2C2A"/>
    <w:rsid w:val="00FD10CE"/>
    <w:rsid w:val="00FD2EEC"/>
    <w:rsid w:val="00FE27EB"/>
    <w:rsid w:val="00FE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1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1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1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0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6930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4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27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148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134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174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06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545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8290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MIUR</cp:lastModifiedBy>
  <cp:revision>3</cp:revision>
  <dcterms:created xsi:type="dcterms:W3CDTF">2015-01-21T14:52:00Z</dcterms:created>
  <dcterms:modified xsi:type="dcterms:W3CDTF">2018-02-18T18:15:00Z</dcterms:modified>
</cp:coreProperties>
</file>